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Layout w:type="fixed"/>
        <w:tblLook w:val="0400"/>
      </w:tblPr>
      <w:tblGrid>
        <w:gridCol w:w="250"/>
        <w:gridCol w:w="399"/>
        <w:gridCol w:w="8849"/>
        <w:tblGridChange w:id="0">
          <w:tblGrid>
            <w:gridCol w:w="250"/>
            <w:gridCol w:w="399"/>
            <w:gridCol w:w="88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[Boss_им]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ООО «Организация»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 [Иниц_BossNameФИО]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«___» _______ [Год]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вводного инструктажа по охране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для работников [Орг_кратк_им]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Layout w:type="fixed"/>
        <w:tblLook w:val="0400"/>
      </w:tblPr>
      <w:tblGrid>
        <w:gridCol w:w="530"/>
        <w:gridCol w:w="7673"/>
        <w:gridCol w:w="1142"/>
        <w:tblGridChange w:id="0">
          <w:tblGrid>
            <w:gridCol w:w="530"/>
            <w:gridCol w:w="7673"/>
            <w:gridCol w:w="114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Объем (минут)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сведения об организации, характерные особенности производственной деятельности Организации. Расположение основных и вспомогательных подразделений Организации. Общие правила поведения работающих на территории организации в производственных и вспомогательных помещениях. Схема передвижения по территории Организации (служебные проходы). Политика и цели в области охраны труда Организации.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положения законодательства о труде и об охране труда, трудовой договор, рабочее время и время отдыха, Правила внутреннего трудового распорядка (далее – ПВТР), трудовая дисциплина, ответственность за нарушение ПВТР, организация работы по охране труда и контроль государственных органов за охраной труда, Государственная экспертиза условий труда, Право работника на получение информации об условиях тру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охране труда.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Право работника на  получение бесплатного лечебно-профилактического питания.  Право работника на бесплатную выдачу молока или других равноценных пищевых продуктов.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 (10)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Условия труда. Профессиональные риски, характерные для данного производства.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Опасные и вредные производственные факторы. Источники опасности, риски действующие на всех работников, находящихся на территории Организации. Методы и средства предупреждения несчастных случаев, микроповреждениях (микротравмах) и профессиональных заболеваний. Электробезопасность. Средства коллективной защиты, плакаты, знаки безопасности, сигнализация.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обязанности работника по охране труда. Общие правила поведения работников на территории Организации, в офисных/административных/производственных и вспомогательных помещениях Организации.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требования производственной санитарии и личной гигиены. Медицинские осмотры и психиатрическое освидетельствование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работника с нормами бесплатной выдачи СИЗ. Порядок и нормы выдачи СИЗ, условия их применения, Приказ Минздравсоцразвития России от 01.06.2009 г. №290н. Сведения о нормах выдачи, сроках носки, порядок ухода, сдачи на организованное хранение, в стирку, в химчистку. Порядок списания СИЗ в случае их порчи. Порядок и нормы выдачи смывающих и обезвреживающих средств, обучения по использованию (применению) средств индивидуальной защиты.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Обстоятельства и причины отдельных характерных несчастных случаев, аварий, пожаров, происшедших в Организации и других аналогичных организациях из-за нарушения требований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Порядок действий работника при несчастном случае, аварий, микроповреждениях (микротравмах) или остром отравлении. Порядок расследования и оформления несчастных случаев, микроповреждениях (микротравмах) и профессиональных заболеваний. Социальное обеспечение пострадавших на производстве. Виды сигнализаций и звуковых оповещений при возникновении аварийных ситуаций.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Пожарная безопасность. Способы и средства предотвращения пожаров, взрывов, аварий. Действия персонала при возникновении пожаров, взрывов, аварий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Оказание первой помощи пострадавшим. Первоочередные меры, принимаемые в связи с несчастным случаем на производстве.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 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Санитарно-бытовое и медицинское обслуживание.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Сведения о телефонных номерах служб спасения.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Сведения о телефонных номерах ответственных лиц за охрану труда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Информация о санитарно-бытовых помещениях, помещениях для приема пищи.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Информация о размещении санитарных постов с аптечками первой помощи, о месте нахождения средств первичного пожаротушения, в том числе огнетушителей и пожарных щитов.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Информация о запрете курения на рабочих местах и в помещениях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4b083" w:space="0" w:sz="4" w:val="single"/>
              <w:left w:color="f4b083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4b083" w:space="0" w:sz="4" w:val="single"/>
              <w:left w:color="000000" w:space="0" w:sz="4" w:val="single"/>
              <w:bottom w:color="f4b083" w:space="0" w:sz="4" w:val="single"/>
              <w:right w:color="f4b083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40 до 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leader="none" w:pos="4677"/>
        <w:tab w:val="right" w:leader="none" w:pos="9355"/>
      </w:tabs>
      <w:spacing w:after="0"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524952" cy="3789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952" cy="3789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semiHidden w:val="1"/>
    <w:unhideWhenUsed w:val="1"/>
    <w:rsid w:val="009F41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7TU1zK+1CVZy+6/nGvUQw+KX/A==">CgMxLjAyCGguZ2pkZ3hzOAByITFwVVhTU2h1eEQzNWV4QlhTWHlCcWlWZlUzSjZ3dFd5WA==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2022-06-30T20:24:00Z</dcterms:created>
  <dc:creator>mom</dc:creator>
</cp:coreProperties>
</file>